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b w:val="1"/>
          <w:bCs w:val="1"/>
        </w:rPr>
      </w:pPr>
      <w:r w:rsidDel="00000000" w:rsidR="00000000" w:rsidRPr="00000000">
        <w:rPr>
          <w:b w:val="1"/>
          <w:bCs w:val="1"/>
          <w:rtl w:val="0"/>
        </w:rPr>
        <w:t xml:space="preserve">Závěrečná zpráva k projektu: Hrajeme si nejen o přestávkách</w:t>
      </w:r>
    </w:p>
    <w:p w:rsidR="00000000" w:rsidDel="00000000" w:rsidP="00000000" w:rsidRDefault="00000000" w:rsidRPr="00000000" w14:paraId="00000002">
      <w:pPr>
        <w:spacing w:after="240" w:before="240" w:lineRule="auto"/>
        <w:rPr/>
      </w:pPr>
      <w:r w:rsidDel="00000000" w:rsidR="00000000" w:rsidRPr="00000000">
        <w:rPr>
          <w:rtl w:val="0"/>
        </w:rPr>
        <w:t xml:space="preserve">Projekt „Hrajeme si nejen o přestávkách“ byl realizován s cílem oživit školní prostředí a nabídnout žákům smysluplné možnosti trávení volného času během školních přestávek i v odpoledních hodinách. Díky finanční podpoře města bylo možné pořídit multifunkční hrací stůl a sadu rozmanitých deskových her, které se staly trvalou součástí vybavení školy. Veškeré pořízené vybavení bylo žákům zpřístupněno formou volného půjčování, což podpořilo jejich samostatnost a zodpovědnost za svěřený inventář.</w:t>
      </w:r>
    </w:p>
    <w:p w:rsidR="00000000" w:rsidDel="00000000" w:rsidP="00000000" w:rsidRDefault="00000000" w:rsidRPr="00000000" w14:paraId="00000003">
      <w:pPr>
        <w:spacing w:after="240" w:before="240" w:lineRule="auto"/>
        <w:rPr/>
      </w:pPr>
      <w:r w:rsidDel="00000000" w:rsidR="00000000" w:rsidRPr="00000000">
        <w:rPr>
          <w:rtl w:val="0"/>
        </w:rPr>
        <w:t xml:space="preserve">Realizace projektu přinesla prokazatelné pozitivní dopady na školní klima. Multifunkční hrací stůl, umístěný ve společných prostorách školy, se stal přirozeným centrem setkávání, kde se setkávají žáci různých ročníků, což přirozeně odbourává sociální bariéry a posiluje vzájemné vztahy. Soubor deskových her pak slouží jako efektivní nástroj pro rozvoj klíčových kompetencí, jako je logické myšlení, strategické plánování, trpělivost a schopnost týmové spolupráce.</w:t>
      </w:r>
    </w:p>
    <w:p w:rsidR="00000000" w:rsidDel="00000000" w:rsidP="00000000" w:rsidRDefault="00000000" w:rsidRPr="00000000" w14:paraId="00000004">
      <w:pPr>
        <w:spacing w:after="240" w:before="240" w:lineRule="auto"/>
        <w:rPr/>
      </w:pPr>
      <w:r w:rsidDel="00000000" w:rsidR="00000000" w:rsidRPr="00000000">
        <w:rPr>
          <w:rtl w:val="0"/>
        </w:rPr>
        <w:t xml:space="preserve">Zpětná vazba od pedagogů i žáků potvrzuje, že projekt úspěšně naplnil svůj účel. Vedle rozvoje dovedností nabízí žákům aktivní alternativu k pasivnímu využívání digitálních technologií, což přispívá k lepší koncentraci na výuku a prevenci konfliktů během přestávek. Vzhledem k vysoké míře využití a pozitivnímu vlivu na atmosféru ve škole považujeme tento projekt za vysoce přínosný a plánujeme v jeho aktivitách pokračovat i v nadcházejícím období, včetně průběžné obměny a doplňování herního fondu. Projekt tak představuje příklad efektivně vynaložených prostředků, které mají přímý dopad na kultivaci prostředí, v němž žáci tráví značnou část svého dne.</w:t>
      </w:r>
    </w:p>
    <w:p w:rsidR="00000000" w:rsidDel="00000000" w:rsidP="00000000" w:rsidRDefault="00000000" w:rsidRPr="00000000" w14:paraId="00000005">
      <w:pPr>
        <w:rPr/>
      </w:pPr>
      <w:r w:rsidDel="00000000" w:rsidR="00000000" w:rsidRPr="00000000">
        <w:rPr/>
        <w:drawing>
          <wp:inline distB="114300" distT="114300" distL="114300" distR="114300">
            <wp:extent cx="5731200" cy="7645400"/>
            <wp:effectExtent b="0" l="0" r="0" t="0"/>
            <wp:docPr id="3"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731200" cy="7645400"/>
                    </a:xfrm>
                    <a:prstGeom prst="rect"/>
                    <a:ln/>
                  </pic:spPr>
                </pic:pic>
              </a:graphicData>
            </a:graphic>
          </wp:inline>
        </w:drawing>
      </w:r>
      <w:r w:rsidDel="00000000" w:rsidR="00000000" w:rsidRPr="00000000">
        <w:rPr/>
        <w:drawing>
          <wp:inline distB="114300" distT="114300" distL="114300" distR="114300">
            <wp:extent cx="5731200" cy="7645400"/>
            <wp:effectExtent b="0" l="0" r="0" t="0"/>
            <wp:docPr id="4"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731200" cy="7645400"/>
                    </a:xfrm>
                    <a:prstGeom prst="rect"/>
                    <a:ln/>
                  </pic:spPr>
                </pic:pic>
              </a:graphicData>
            </a:graphic>
          </wp:inline>
        </w:drawing>
      </w:r>
      <w:r w:rsidDel="00000000" w:rsidR="00000000" w:rsidRPr="00000000">
        <w:rPr/>
        <w:drawing>
          <wp:inline distB="114300" distT="114300" distL="114300" distR="114300">
            <wp:extent cx="5731200" cy="4292600"/>
            <wp:effectExtent b="0" l="0" r="0" t="0"/>
            <wp:docPr id="1"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731200" cy="4292600"/>
                    </a:xfrm>
                    <a:prstGeom prst="rect"/>
                    <a:ln/>
                  </pic:spPr>
                </pic:pic>
              </a:graphicData>
            </a:graphic>
          </wp:inline>
        </w:drawing>
      </w:r>
      <w:r w:rsidDel="00000000" w:rsidR="00000000" w:rsidRPr="00000000">
        <w:rPr/>
        <w:drawing>
          <wp:inline distB="114300" distT="114300" distL="114300" distR="114300">
            <wp:extent cx="5731200" cy="7645400"/>
            <wp:effectExtent b="0" l="0" r="0" t="0"/>
            <wp:docPr id="5"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5731200" cy="7645400"/>
                    </a:xfrm>
                    <a:prstGeom prst="rect"/>
                    <a:ln/>
                  </pic:spPr>
                </pic:pic>
              </a:graphicData>
            </a:graphic>
          </wp:inline>
        </w:drawing>
      </w:r>
      <w:r w:rsidDel="00000000" w:rsidR="00000000" w:rsidRPr="00000000">
        <w:rPr/>
        <w:drawing>
          <wp:inline distB="114300" distT="114300" distL="114300" distR="114300">
            <wp:extent cx="5731200" cy="7645400"/>
            <wp:effectExtent b="0" l="0" r="0" t="0"/>
            <wp:docPr id="2"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5731200" cy="7645400"/>
                    </a:xfrm>
                    <a:prstGeom prst="rect"/>
                    <a:ln/>
                  </pic:spPr>
                </pic:pic>
              </a:graphicData>
            </a:graphic>
          </wp:inline>
        </w:drawing>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4.jpg"/><Relationship Id="rId9" Type="http://schemas.openxmlformats.org/officeDocument/2006/relationships/image" Target="media/image5.jpg"/><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image" Target="media/image2.jpg"/><Relationship Id="rId8"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